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0CD36293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BELGIO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D36D0B">
        <w:t xml:space="preserve"> </w:t>
      </w:r>
      <w:r w:rsidR="004078ED" w:rsidRPr="00F30928">
        <w:t>Mobility</w:t>
      </w:r>
      <w:r w:rsidR="00D36D0B">
        <w:t xml:space="preserve"> </w:t>
      </w:r>
      <w:r w:rsidR="004078ED" w:rsidRPr="00F30928">
        <w:t>Boosting</w:t>
      </w:r>
      <w:r w:rsidR="00D36D0B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D6295D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D6295D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D6295D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11F61A4A" w14:textId="77777777" w:rsidR="004E0EE0" w:rsidRPr="00D6295D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(n.2016-1-IT01-KA102-005132)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D6295D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D6295D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14:paraId="7A6889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03144C1E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15C14DDC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D6295D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D6295D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Pr="00D6295D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2B316B9C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D6295D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D6295D">
              <w:t>I PR</w:t>
            </w:r>
            <w:r w:rsidR="00D75D1B" w:rsidRPr="00D6295D">
              <w:t>INCIPALI OBIETTIVI DEL PROGETTO</w:t>
            </w:r>
          </w:p>
          <w:p w14:paraId="22BEC5B8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D6295D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D6295D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D6295D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D6295D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D6295D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D6295D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D6295D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637C7F99" w14:textId="77777777" w:rsidR="004F63D2" w:rsidRPr="00D6295D" w:rsidRDefault="00DA65A7" w:rsidP="00F30928">
            <w:pPr>
              <w:pStyle w:val="Citazioneintensa"/>
            </w:pPr>
            <w:r w:rsidRPr="00D6295D">
              <w:t>I DESTINATARI</w:t>
            </w:r>
            <w:r w:rsidR="00D75D1B" w:rsidRPr="00D6295D">
              <w:t xml:space="preserve"> DEL PROGETTO</w:t>
            </w:r>
          </w:p>
          <w:p w14:paraId="3A380B04" w14:textId="40CC7702" w:rsidR="00F72D34" w:rsidRPr="00D6295D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5D48E0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-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20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– 202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1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1F2FFB" w14:textId="6BA0669A" w:rsidR="00F72D34" w:rsidRPr="00D6295D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6295D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6295D" w:rsidRPr="00D6295D">
              <w:rPr>
                <w:rFonts w:ascii="Calibri Light" w:hAnsi="Calibri Light" w:cs="Calibri Light"/>
              </w:rPr>
              <w:t xml:space="preserve"> </w:t>
            </w:r>
            <w:r w:rsidR="001C143C">
              <w:rPr>
                <w:rFonts w:ascii="Calibri Light" w:hAnsi="Calibri Light" w:cs="Calibri Light"/>
              </w:rPr>
              <w:t>3</w:t>
            </w:r>
            <w:r w:rsidR="00910C35">
              <w:rPr>
                <w:rFonts w:ascii="Calibri Light" w:hAnsi="Calibri Light" w:cs="Calibri Light"/>
              </w:rPr>
              <w:t xml:space="preserve">2 </w:t>
            </w:r>
            <w:r w:rsidRPr="00D6295D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4A0A2A0E" w14:textId="6C1CB114" w:rsidR="0066375A" w:rsidRDefault="0066375A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563CE3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8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</w:t>
            </w:r>
          </w:p>
          <w:p w14:paraId="6FFF4922" w14:textId="52570013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4 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</w:p>
          <w:p w14:paraId="2FA598FC" w14:textId="1852B28B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3C24C8B" w14:textId="03FBBA1E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B1FBC0E" w14:textId="3B7E56E7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8D8B275" w14:textId="77777777" w:rsidR="00910C35" w:rsidRPr="00D6295D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86B2217" w14:textId="55A39D4F" w:rsidR="001B337C" w:rsidRPr="00D6295D" w:rsidRDefault="001B337C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ACD5FB2" w14:textId="37984BD3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D6295D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="00EC1EBC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D6295D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910C35" w:rsidRPr="00D6295D" w14:paraId="20AFA5AD" w14:textId="77777777" w:rsidTr="00D64C7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9D80E76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2B80DFFF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AB67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41D2" w14:textId="0343A165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910C35" w:rsidRPr="00D6295D" w14:paraId="747F6648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F0C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B1CDF" w14:textId="5AD5283F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910C35" w:rsidRPr="00D6295D" w14:paraId="177D7324" w14:textId="77777777" w:rsidTr="00D64C7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DF1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C788" w14:textId="6A561B65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SETTEMBRE</w:t>
                  </w:r>
                </w:p>
              </w:tc>
            </w:tr>
            <w:tr w:rsidR="00910C35" w:rsidRPr="00D6295D" w14:paraId="2D6B2F20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6F189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FD37" w14:textId="307C0218" w:rsidR="00910C35" w:rsidRPr="00D6295D" w:rsidRDefault="00D66BA3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</w:tbl>
          <w:p w14:paraId="73DD000F" w14:textId="2C432AD7" w:rsidR="0017124B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7CF4928" w14:textId="56364F35" w:rsidR="00910C35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C898F9F" w14:textId="77777777" w:rsidR="00910C35" w:rsidRPr="00D6295D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0583BD6" w14:textId="77777777" w:rsidR="009C24F2" w:rsidRPr="00D6295D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D6295D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431317F6" w:rsidR="00132D42" w:rsidRPr="00D6295D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66BA3" w:rsidRPr="00D6295D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5744E7B2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15BBD43E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D66BA3" w:rsidRPr="00D6295D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1DB00C31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297E04CA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D66BA3" w:rsidRPr="00D6295D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793EC360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09E1A3CB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SETTEMBRE</w:t>
                  </w:r>
                </w:p>
              </w:tc>
            </w:tr>
            <w:tr w:rsidR="00D66BA3" w:rsidRPr="00D6295D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53CB6689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00BD0C1B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</w:tbl>
          <w:p w14:paraId="48428AEA" w14:textId="0466CB31" w:rsidR="009C24F2" w:rsidRPr="00D6295D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8DC7E0" w14:textId="3839DB9B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1EAA8D45" w14:textId="77777777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D6295D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E8B1EA5" w:rsidR="007F064B" w:rsidRPr="00D6295D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(4 MESI) </w:t>
                  </w:r>
                </w:p>
              </w:tc>
            </w:tr>
            <w:tr w:rsidR="00D66BA3" w:rsidRPr="00D6295D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5599F6E9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7DE95704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D66BA3" w:rsidRPr="00D6295D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7DD8473A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1D096BBC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  <w:tr w:rsidR="00D66BA3" w:rsidRPr="00D6295D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1F0E88C7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5FCF1D5B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SETTEMBRE</w:t>
                  </w:r>
                </w:p>
              </w:tc>
            </w:tr>
            <w:tr w:rsidR="00D66BA3" w:rsidRPr="00D6295D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28FD860E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27DE55B4" w:rsidR="00D66BA3" w:rsidRPr="00D6295D" w:rsidRDefault="00D66BA3" w:rsidP="00D66BA3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SETTEMBRE</w:t>
                  </w:r>
                </w:p>
              </w:tc>
            </w:tr>
          </w:tbl>
          <w:p w14:paraId="6277F272" w14:textId="4783A52D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BD806C7" w14:textId="77777777" w:rsidR="00C71359" w:rsidRPr="00D6295D" w:rsidRDefault="00C71359" w:rsidP="00910C3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1997C387" w:rsidR="00F72D34" w:rsidRPr="00D6295D" w:rsidRDefault="00F72D34" w:rsidP="00910C3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Le tempistiche previste sono indicative e potrebbero subire variazioni per motivi organizzativi.</w:t>
            </w:r>
          </w:p>
          <w:p w14:paraId="4292571C" w14:textId="77777777" w:rsidR="00F72D34" w:rsidRPr="00D6295D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D6295D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D6295D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D6295D" w:rsidRDefault="00D657EC" w:rsidP="00F30928">
            <w:pPr>
              <w:pStyle w:val="Citazioneintensa"/>
              <w:rPr>
                <w:i w:val="0"/>
              </w:rPr>
            </w:pPr>
            <w:r w:rsidRPr="00D6295D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1FF2B140" w:rsidR="00D946B3" w:rsidRPr="00D6295D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5547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3</w:t>
      </w:r>
      <w:r w:rsidR="00910C3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</w:t>
      </w:r>
      <w:r w:rsidR="00BA2C6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7EDA7A0" w14:textId="77777777" w:rsidR="00D946B3" w:rsidRPr="00D8599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4EB50677" w14:textId="77777777" w:rsidR="00910C35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8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</w:t>
      </w:r>
    </w:p>
    <w:p w14:paraId="11C5EA7C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4 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BELGIO</w:t>
      </w:r>
    </w:p>
    <w:p w14:paraId="70C1560F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3D12498E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.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– 202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1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4F3A0505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</w:t>
      </w:r>
      <w:r w:rsidR="001E7B23">
        <w:rPr>
          <w:rFonts w:ascii="Calibri Light" w:eastAsia="Times New Roman" w:hAnsi="Calibri Light" w:cs="Calibri Light"/>
          <w:sz w:val="20"/>
          <w:szCs w:val="20"/>
          <w:lang w:eastAsia="it-IT"/>
        </w:rPr>
        <w:t>-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045E40F7" w:rsidR="00714B4D" w:rsidRPr="00D6295D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referenza (inglese per le destinazioni 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181A9886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B47081">
        <w:rPr>
          <w:rFonts w:ascii="Calibri Light" w:hAnsi="Calibri Light" w:cs="Calibri Light"/>
          <w:sz w:val="20"/>
          <w:szCs w:val="20"/>
        </w:rPr>
        <w:t xml:space="preserve">Le candidature potranno </w:t>
      </w:r>
      <w:r w:rsidRPr="00D6295D">
        <w:rPr>
          <w:rFonts w:ascii="Calibri Light" w:hAnsi="Calibri Light" w:cs="Calibri Light"/>
          <w:sz w:val="20"/>
          <w:szCs w:val="20"/>
        </w:rPr>
        <w:t xml:space="preserve">essere inviate a partire 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446511">
        <w:rPr>
          <w:rFonts w:ascii="Calibri Light" w:hAnsi="Calibri Light" w:cs="Calibri Light"/>
          <w:b/>
          <w:i/>
          <w:color w:val="002060"/>
          <w:sz w:val="20"/>
          <w:szCs w:val="20"/>
        </w:rPr>
        <w:t>02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446511">
        <w:rPr>
          <w:rFonts w:ascii="Calibri Light" w:hAnsi="Calibri Light" w:cs="Calibri Light"/>
          <w:b/>
          <w:i/>
          <w:color w:val="002060"/>
          <w:sz w:val="20"/>
          <w:szCs w:val="20"/>
        </w:rPr>
        <w:t>8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D66BA3">
        <w:rPr>
          <w:rFonts w:ascii="Calibri Light" w:hAnsi="Calibri Light" w:cs="Calibri Light"/>
          <w:b/>
          <w:i/>
          <w:color w:val="002060"/>
          <w:sz w:val="20"/>
          <w:szCs w:val="20"/>
        </w:rPr>
        <w:t>06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D66BA3">
        <w:rPr>
          <w:rFonts w:ascii="Calibri Light" w:hAnsi="Calibri Light" w:cs="Calibri Light"/>
          <w:b/>
          <w:i/>
          <w:color w:val="002060"/>
          <w:sz w:val="20"/>
          <w:szCs w:val="20"/>
        </w:rPr>
        <w:t>8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53EE234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4FA6FABE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email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0450CE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PER IL QUALE CI SI CANDIDA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53D5267E" w:rsid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060CEB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(4 MESI)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2BA4B643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531" w14:textId="77777777" w:rsidR="00EC1EBC" w:rsidRDefault="00EC1EBC">
      <w:r>
        <w:separator/>
      </w:r>
    </w:p>
  </w:endnote>
  <w:endnote w:type="continuationSeparator" w:id="0">
    <w:p w14:paraId="13C0C982" w14:textId="77777777" w:rsidR="00EC1EBC" w:rsidRDefault="00E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5E43" w14:textId="77777777" w:rsidR="00EC1EBC" w:rsidRDefault="00EC1EBC">
      <w:r>
        <w:separator/>
      </w:r>
    </w:p>
  </w:footnote>
  <w:footnote w:type="continuationSeparator" w:id="0">
    <w:p w14:paraId="1131341E" w14:textId="77777777" w:rsidR="00EC1EBC" w:rsidRDefault="00EC1EBC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pt;height:9pt" o:bullet="t">
        <v:imagedata r:id="rId1" o:title="BD10267_"/>
      </v:shape>
    </w:pict>
  </w:numPicBullet>
  <w:numPicBullet w:numPicBulletId="1">
    <w:pict>
      <v:shape id="_x0000_i1081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50CE"/>
    <w:rsid w:val="00046386"/>
    <w:rsid w:val="0005002A"/>
    <w:rsid w:val="0005014C"/>
    <w:rsid w:val="00052885"/>
    <w:rsid w:val="00053391"/>
    <w:rsid w:val="0005672C"/>
    <w:rsid w:val="0006050C"/>
    <w:rsid w:val="00060CEB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3866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0653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26CA4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950B8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37C"/>
    <w:rsid w:val="001B35E5"/>
    <w:rsid w:val="001B4B5F"/>
    <w:rsid w:val="001B756B"/>
    <w:rsid w:val="001C0DA7"/>
    <w:rsid w:val="001C143C"/>
    <w:rsid w:val="001D25BD"/>
    <w:rsid w:val="001D5FB9"/>
    <w:rsid w:val="001E1803"/>
    <w:rsid w:val="001E4B3D"/>
    <w:rsid w:val="001E7B23"/>
    <w:rsid w:val="001F0A05"/>
    <w:rsid w:val="001F1A9E"/>
    <w:rsid w:val="001F424D"/>
    <w:rsid w:val="001F4A48"/>
    <w:rsid w:val="001F77E6"/>
    <w:rsid w:val="002017C4"/>
    <w:rsid w:val="0020457E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2322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0EB"/>
    <w:rsid w:val="003914F1"/>
    <w:rsid w:val="00393EA4"/>
    <w:rsid w:val="003A7A4E"/>
    <w:rsid w:val="003B40C6"/>
    <w:rsid w:val="003C2FD8"/>
    <w:rsid w:val="003E015E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511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3CE3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A7EA9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D48E0"/>
    <w:rsid w:val="005E1049"/>
    <w:rsid w:val="005E2CD6"/>
    <w:rsid w:val="005E2E1B"/>
    <w:rsid w:val="005E4B98"/>
    <w:rsid w:val="005E6C1C"/>
    <w:rsid w:val="005E6FE0"/>
    <w:rsid w:val="005F1E6C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75A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6A2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07B8F"/>
    <w:rsid w:val="00910C35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57402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0EB5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55474"/>
    <w:rsid w:val="00A64562"/>
    <w:rsid w:val="00A65157"/>
    <w:rsid w:val="00A672E5"/>
    <w:rsid w:val="00A70AE2"/>
    <w:rsid w:val="00A71FED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2E19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2C41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BF6F56"/>
    <w:rsid w:val="00C03035"/>
    <w:rsid w:val="00C10CBA"/>
    <w:rsid w:val="00C14095"/>
    <w:rsid w:val="00C142F2"/>
    <w:rsid w:val="00C16D0F"/>
    <w:rsid w:val="00C1783A"/>
    <w:rsid w:val="00C21324"/>
    <w:rsid w:val="00C3316E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B70B7"/>
    <w:rsid w:val="00CD20A1"/>
    <w:rsid w:val="00CD3C99"/>
    <w:rsid w:val="00CD50E7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37C9D"/>
    <w:rsid w:val="00D40552"/>
    <w:rsid w:val="00D474B6"/>
    <w:rsid w:val="00D5312F"/>
    <w:rsid w:val="00D53464"/>
    <w:rsid w:val="00D53EDD"/>
    <w:rsid w:val="00D552E2"/>
    <w:rsid w:val="00D55CD6"/>
    <w:rsid w:val="00D6295D"/>
    <w:rsid w:val="00D657EC"/>
    <w:rsid w:val="00D65CF2"/>
    <w:rsid w:val="00D66BA3"/>
    <w:rsid w:val="00D7275C"/>
    <w:rsid w:val="00D75D1B"/>
    <w:rsid w:val="00D848FB"/>
    <w:rsid w:val="00D85993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E7340"/>
    <w:rsid w:val="00DF012D"/>
    <w:rsid w:val="00DF1633"/>
    <w:rsid w:val="00DF1DF2"/>
    <w:rsid w:val="00DF62DD"/>
    <w:rsid w:val="00DF6603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1EBC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15990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68</cp:revision>
  <cp:lastPrinted>2020-01-20T08:46:00Z</cp:lastPrinted>
  <dcterms:created xsi:type="dcterms:W3CDTF">2021-03-03T15:24:00Z</dcterms:created>
  <dcterms:modified xsi:type="dcterms:W3CDTF">2021-08-02T14:24:00Z</dcterms:modified>
</cp:coreProperties>
</file>